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AB923C">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sz w:val="28"/>
          <w:szCs w:val="28"/>
          <w:lang w:val="en-US" w:eastAsia="zh-CN"/>
        </w:rPr>
      </w:pPr>
      <w:r>
        <w:rPr>
          <w:rFonts w:hint="eastAsia"/>
          <w:sz w:val="28"/>
          <w:szCs w:val="28"/>
          <w:lang w:eastAsia="zh-CN"/>
        </w:rPr>
        <w:t>附件</w:t>
      </w:r>
      <w:r>
        <w:rPr>
          <w:rFonts w:hint="eastAsia"/>
          <w:sz w:val="28"/>
          <w:szCs w:val="28"/>
          <w:lang w:val="en-US" w:eastAsia="zh-CN"/>
        </w:rPr>
        <w:t>2：</w:t>
      </w:r>
    </w:p>
    <w:p w14:paraId="274E35D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b w:val="0"/>
          <w:bCs w:val="0"/>
          <w:sz w:val="40"/>
          <w:szCs w:val="40"/>
        </w:rPr>
      </w:pPr>
      <w:r>
        <w:rPr>
          <w:rFonts w:hint="eastAsia" w:ascii="方正小标宋简体" w:hAnsi="方正小标宋简体" w:eastAsia="方正小标宋简体" w:cs="方正小标宋简体"/>
          <w:b w:val="0"/>
          <w:bCs w:val="0"/>
          <w:sz w:val="40"/>
          <w:szCs w:val="40"/>
        </w:rPr>
        <w:t>单一来源说明</w:t>
      </w:r>
    </w:p>
    <w:p w14:paraId="02E8C1C0">
      <w:pPr>
        <w:keepNext w:val="0"/>
        <w:keepLines w:val="0"/>
        <w:pageBreakBefore w:val="0"/>
        <w:widowControl w:val="0"/>
        <w:kinsoku/>
        <w:wordWrap/>
        <w:overflowPunct/>
        <w:topLinePunct w:val="0"/>
        <w:autoSpaceDE/>
        <w:autoSpaceDN/>
        <w:bidi w:val="0"/>
        <w:adjustRightInd/>
        <w:snapToGrid/>
        <w:spacing w:line="400" w:lineRule="exact"/>
        <w:ind w:firstLine="561"/>
        <w:jc w:val="left"/>
        <w:textAlignment w:val="auto"/>
        <w:rPr>
          <w:rFonts w:hint="eastAsia"/>
          <w:sz w:val="28"/>
          <w:szCs w:val="28"/>
        </w:rPr>
      </w:pPr>
    </w:p>
    <w:p w14:paraId="7E7510A9">
      <w:pPr>
        <w:ind w:firstLine="560"/>
        <w:jc w:val="left"/>
        <w:rPr>
          <w:rFonts w:hint="eastAsia" w:ascii="宋体" w:hAnsi="宋体" w:cs="宋体"/>
          <w:szCs w:val="28"/>
        </w:rPr>
      </w:pPr>
      <w:r>
        <w:rPr>
          <w:rFonts w:hint="eastAsia"/>
          <w:sz w:val="28"/>
          <w:szCs w:val="28"/>
        </w:rPr>
        <w:t>根据山东省财政厅、山东省卫生健康委员会《关于全面启动推广财政电子票据跨省报销工作的通知》（鲁财综〔</w:t>
      </w:r>
      <w:r>
        <w:rPr>
          <w:sz w:val="28"/>
          <w:szCs w:val="28"/>
        </w:rPr>
        <w:t>2025</w:t>
      </w:r>
      <w:r>
        <w:rPr>
          <w:rFonts w:hint="eastAsia"/>
          <w:sz w:val="28"/>
          <w:szCs w:val="28"/>
        </w:rPr>
        <w:t>〕</w:t>
      </w:r>
      <w:r>
        <w:rPr>
          <w:sz w:val="28"/>
          <w:szCs w:val="28"/>
        </w:rPr>
        <w:t xml:space="preserve">44 </w:t>
      </w:r>
      <w:r>
        <w:rPr>
          <w:rFonts w:hint="eastAsia"/>
          <w:sz w:val="28"/>
          <w:szCs w:val="28"/>
        </w:rPr>
        <w:t>号）文件中，“</w:t>
      </w:r>
      <w:r>
        <w:rPr>
          <w:sz w:val="28"/>
          <w:szCs w:val="28"/>
        </w:rPr>
        <w:t>2025</w:t>
      </w:r>
      <w:r>
        <w:rPr>
          <w:rFonts w:hint="eastAsia"/>
          <w:sz w:val="28"/>
          <w:szCs w:val="28"/>
        </w:rPr>
        <w:t>年年底前，省本级及各市全面完成三级以上医疗卫生机构财政票据系统和业务系统升级改造”的要求，现需对我院在用的电子发票系统进行升级改造，以实现“省内各市之间、全省与全国其他省份之间的财政电子票据跨省报销业务”的要求</w:t>
      </w:r>
      <w:r>
        <w:rPr>
          <w:rFonts w:hint="eastAsia" w:ascii="宋体" w:hAnsi="宋体" w:cs="宋体"/>
          <w:sz w:val="28"/>
          <w:szCs w:val="28"/>
        </w:rPr>
        <w:t>。我院需要对现有的医疗电子票据系统接口升级改造。从单一来源合规性、本省情况等方面，建议采用单一来源方式将福建博思软件股份有限公司作为采购服务商，具体说明如下：</w:t>
      </w:r>
    </w:p>
    <w:p w14:paraId="6C0D1821">
      <w:pPr>
        <w:numPr>
          <w:ilvl w:val="0"/>
          <w:numId w:val="0"/>
        </w:numPr>
        <w:ind w:firstLine="562" w:firstLineChars="200"/>
        <w:jc w:val="left"/>
        <w:rPr>
          <w:rFonts w:hint="eastAsia" w:ascii="宋体" w:hAnsi="宋体" w:cs="宋体"/>
          <w:b/>
          <w:bCs/>
          <w:szCs w:val="28"/>
        </w:rPr>
      </w:pPr>
      <w:r>
        <w:rPr>
          <w:rFonts w:hint="eastAsia" w:ascii="宋体" w:hAnsi="宋体" w:cs="宋体"/>
          <w:b/>
          <w:bCs/>
          <w:sz w:val="28"/>
          <w:szCs w:val="28"/>
          <w:lang w:eastAsia="zh-CN"/>
        </w:rPr>
        <w:t>一、</w:t>
      </w:r>
      <w:r>
        <w:rPr>
          <w:rFonts w:hint="eastAsia" w:ascii="宋体" w:hAnsi="宋体" w:cs="宋体"/>
          <w:b/>
          <w:bCs/>
          <w:sz w:val="28"/>
          <w:szCs w:val="28"/>
        </w:rPr>
        <w:t>单一来源合规性说明</w:t>
      </w:r>
    </w:p>
    <w:p w14:paraId="4D63AA31">
      <w:pPr>
        <w:ind w:firstLine="560"/>
        <w:jc w:val="left"/>
        <w:rPr>
          <w:rFonts w:hint="eastAsia" w:ascii="宋体" w:hAnsi="宋体" w:cs="宋体"/>
          <w:szCs w:val="28"/>
        </w:rPr>
      </w:pPr>
      <w:r>
        <w:rPr>
          <w:rFonts w:ascii="宋体" w:hAnsi="宋体" w:cs="宋体"/>
          <w:sz w:val="28"/>
          <w:szCs w:val="28"/>
        </w:rPr>
        <w:t>《中华人民共和国政府采购法》第三十一条</w:t>
      </w:r>
      <w:r>
        <w:rPr>
          <w:rFonts w:hint="eastAsia" w:ascii="宋体" w:hAnsi="宋体" w:cs="宋体"/>
          <w:sz w:val="28"/>
          <w:szCs w:val="28"/>
        </w:rPr>
        <w:t>中规定“</w:t>
      </w:r>
      <w:r>
        <w:rPr>
          <w:rFonts w:ascii="宋体" w:hAnsi="宋体" w:cs="宋体"/>
          <w:sz w:val="28"/>
          <w:szCs w:val="28"/>
        </w:rPr>
        <w:t>符合下列情形之一的货物或者服务，可以依照本法采用单一来源方式采购</w:t>
      </w:r>
      <w:r>
        <w:rPr>
          <w:rFonts w:hint="eastAsia" w:ascii="宋体" w:hAnsi="宋体" w:cs="宋体"/>
          <w:sz w:val="28"/>
          <w:szCs w:val="28"/>
        </w:rPr>
        <w:t>：</w:t>
      </w:r>
      <w:r>
        <w:rPr>
          <w:rFonts w:ascii="宋体" w:hAnsi="宋体" w:cs="宋体"/>
          <w:sz w:val="28"/>
          <w:szCs w:val="28"/>
        </w:rPr>
        <w:t>1</w:t>
      </w:r>
      <w:r>
        <w:rPr>
          <w:rFonts w:hint="eastAsia" w:ascii="宋体" w:hAnsi="宋体" w:cs="宋体"/>
          <w:sz w:val="28"/>
          <w:szCs w:val="28"/>
        </w:rPr>
        <w:t>.</w:t>
      </w:r>
      <w:r>
        <w:rPr>
          <w:rFonts w:ascii="宋体" w:hAnsi="宋体" w:cs="宋体"/>
          <w:sz w:val="28"/>
          <w:szCs w:val="28"/>
        </w:rPr>
        <w:t>只能从唯一供应商处采购的；</w:t>
      </w:r>
      <w:r>
        <w:rPr>
          <w:rFonts w:hint="eastAsia" w:ascii="宋体" w:hAnsi="宋体" w:cs="宋体"/>
          <w:sz w:val="28"/>
          <w:szCs w:val="28"/>
        </w:rPr>
        <w:t>2.</w:t>
      </w:r>
      <w:r>
        <w:rPr>
          <w:rFonts w:ascii="宋体" w:hAnsi="宋体" w:cs="宋体"/>
          <w:sz w:val="28"/>
          <w:szCs w:val="28"/>
        </w:rPr>
        <w:t>发生了不可预见的紧急情况不能从其他供应商处采购的；</w:t>
      </w:r>
      <w:r>
        <w:rPr>
          <w:rFonts w:hint="eastAsia" w:ascii="宋体" w:hAnsi="宋体" w:cs="宋体"/>
          <w:sz w:val="28"/>
          <w:szCs w:val="28"/>
        </w:rPr>
        <w:t>3.</w:t>
      </w:r>
      <w:r>
        <w:rPr>
          <w:rFonts w:ascii="宋体" w:hAnsi="宋体" w:cs="宋体"/>
          <w:sz w:val="28"/>
          <w:szCs w:val="28"/>
        </w:rPr>
        <w:t>必须保证原有采购项目一致性或者服务配套的要求，需要继续从原供应商处添购。</w:t>
      </w:r>
      <w:r>
        <w:rPr>
          <w:rFonts w:hint="eastAsia" w:ascii="宋体" w:hAnsi="宋体" w:cs="宋体"/>
          <w:sz w:val="28"/>
          <w:szCs w:val="28"/>
        </w:rPr>
        <w:t>”</w:t>
      </w:r>
    </w:p>
    <w:p w14:paraId="0384EB8D">
      <w:pPr>
        <w:numPr>
          <w:ilvl w:val="0"/>
          <w:numId w:val="1"/>
        </w:numPr>
        <w:ind w:firstLine="560" w:firstLineChars="200"/>
        <w:jc w:val="left"/>
        <w:rPr>
          <w:rFonts w:hint="eastAsia" w:ascii="宋体" w:hAnsi="宋体" w:cs="宋体"/>
          <w:b/>
          <w:bCs/>
          <w:szCs w:val="28"/>
        </w:rPr>
      </w:pPr>
      <w:r>
        <w:rPr>
          <w:rFonts w:hint="eastAsia" w:ascii="宋体" w:hAnsi="宋体" w:cs="宋体"/>
          <w:sz w:val="28"/>
          <w:szCs w:val="28"/>
        </w:rPr>
        <w:t>财政部票据系统从2007年起进行票据电子化改革，期间一直由福建博思软件股份有限公司负责系统建设与实施服务，并且福建博思软件股份有限公司具有财政电子票据管理系统和医疗电子票据管理系统的专利及软件著作权。</w:t>
      </w:r>
    </w:p>
    <w:p w14:paraId="1D4D3A38">
      <w:pPr>
        <w:spacing w:line="360" w:lineRule="auto"/>
        <w:rPr>
          <w:rFonts w:hint="eastAsia" w:ascii="仿宋_GB2312" w:hAnsi="方正仿宋_GBK" w:eastAsia="仿宋_GB2312" w:cs="方正仿宋_GBK"/>
          <w:color w:val="000000"/>
          <w:sz w:val="22"/>
        </w:rPr>
      </w:pPr>
      <w:r>
        <w:rPr>
          <w:rFonts w:hint="eastAsia" w:asciiTheme="minorEastAsia" w:hAnsiTheme="minorEastAsia" w:cstheme="minorEastAsia"/>
          <w:sz w:val="24"/>
        </w:rPr>
        <w:drawing>
          <wp:inline distT="0" distB="0" distL="114300" distR="114300">
            <wp:extent cx="1652905" cy="2292985"/>
            <wp:effectExtent l="0" t="0" r="4445" b="12065"/>
            <wp:docPr id="37" name="图片 37" descr="35、博思电子票据管理系统V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35、博思电子票据管理系统V1.0"/>
                    <pic:cNvPicPr>
                      <a:picLocks noChangeAspect="1"/>
                    </pic:cNvPicPr>
                  </pic:nvPicPr>
                  <pic:blipFill>
                    <a:blip r:embed="rId4"/>
                    <a:stretch>
                      <a:fillRect/>
                    </a:stretch>
                  </pic:blipFill>
                  <pic:spPr>
                    <a:xfrm>
                      <a:off x="0" y="0"/>
                      <a:ext cx="1652905" cy="2292985"/>
                    </a:xfrm>
                    <a:prstGeom prst="rect">
                      <a:avLst/>
                    </a:prstGeom>
                  </pic:spPr>
                </pic:pic>
              </a:graphicData>
            </a:graphic>
          </wp:inline>
        </w:drawing>
      </w:r>
      <w:r>
        <w:rPr>
          <w:rFonts w:hint="eastAsia" w:asciiTheme="minorEastAsia" w:hAnsiTheme="minorEastAsia" w:cstheme="minorEastAsia"/>
          <w:sz w:val="24"/>
        </w:rPr>
        <w:drawing>
          <wp:inline distT="0" distB="0" distL="114300" distR="114300">
            <wp:extent cx="1604010" cy="2205990"/>
            <wp:effectExtent l="0" t="0" r="15240" b="3810"/>
            <wp:docPr id="39" name="图片 39" descr="25、博思财政票据电子化暨非税收入收缴管理系统V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25、博思财政票据电子化暨非税收入收缴管理系统V1.0"/>
                    <pic:cNvPicPr>
                      <a:picLocks noChangeAspect="1"/>
                    </pic:cNvPicPr>
                  </pic:nvPicPr>
                  <pic:blipFill>
                    <a:blip r:embed="rId5"/>
                    <a:stretch>
                      <a:fillRect/>
                    </a:stretch>
                  </pic:blipFill>
                  <pic:spPr>
                    <a:xfrm>
                      <a:off x="0" y="0"/>
                      <a:ext cx="1604010" cy="2205990"/>
                    </a:xfrm>
                    <a:prstGeom prst="rect">
                      <a:avLst/>
                    </a:prstGeom>
                  </pic:spPr>
                </pic:pic>
              </a:graphicData>
            </a:graphic>
          </wp:inline>
        </w:drawing>
      </w:r>
      <w:r>
        <w:rPr>
          <w:rFonts w:hint="eastAsia" w:ascii="仿宋_GB2312" w:hAnsi="方正仿宋_GBK" w:eastAsia="仿宋_GB2312" w:cs="方正仿宋_GBK"/>
          <w:color w:val="000000"/>
          <w:sz w:val="22"/>
        </w:rPr>
        <w:drawing>
          <wp:inline distT="0" distB="0" distL="114300" distR="114300">
            <wp:extent cx="1645920" cy="2103120"/>
            <wp:effectExtent l="0" t="0" r="11430" b="11430"/>
            <wp:docPr id="1179718419" name="图片 1179718419" descr="1743680389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718419" name="图片 1179718419" descr="1743680389388"/>
                    <pic:cNvPicPr>
                      <a:picLocks noChangeAspect="1"/>
                    </pic:cNvPicPr>
                  </pic:nvPicPr>
                  <pic:blipFill>
                    <a:blip r:embed="rId6"/>
                    <a:stretch>
                      <a:fillRect/>
                    </a:stretch>
                  </pic:blipFill>
                  <pic:spPr>
                    <a:xfrm>
                      <a:off x="0" y="0"/>
                      <a:ext cx="1645920" cy="2103120"/>
                    </a:xfrm>
                    <a:prstGeom prst="rect">
                      <a:avLst/>
                    </a:prstGeom>
                  </pic:spPr>
                </pic:pic>
              </a:graphicData>
            </a:graphic>
          </wp:inline>
        </w:drawing>
      </w:r>
    </w:p>
    <w:p w14:paraId="36BF4073">
      <w:pPr>
        <w:spacing w:line="360" w:lineRule="auto"/>
        <w:rPr>
          <w:rFonts w:hint="eastAsia" w:ascii="仿宋_GB2312" w:hAnsi="方正仿宋_GBK" w:eastAsia="仿宋_GB2312" w:cs="方正仿宋_GBK"/>
          <w:color w:val="000000"/>
          <w:sz w:val="22"/>
        </w:rPr>
      </w:pPr>
      <w:r>
        <w:rPr>
          <w:rFonts w:hint="eastAsia" w:ascii="仿宋_GB2312" w:hAnsi="方正仿宋_GBK" w:eastAsia="仿宋_GB2312" w:cs="方正仿宋_GBK"/>
          <w:color w:val="000000"/>
          <w:sz w:val="18"/>
          <w:szCs w:val="18"/>
        </w:rPr>
        <w:t xml:space="preserve">博思电子票据管理系统V1.0     </w:t>
      </w:r>
      <w:r>
        <w:rPr>
          <w:rFonts w:ascii="仿宋_GB2312" w:hAnsi="方正仿宋_GBK" w:eastAsia="仿宋_GB2312" w:cs="方正仿宋_GBK"/>
          <w:color w:val="000000"/>
          <w:sz w:val="18"/>
          <w:szCs w:val="18"/>
        </w:rPr>
        <w:t>财政票据电子化改革管理系统 V1.0</w:t>
      </w:r>
      <w:r>
        <w:rPr>
          <w:rFonts w:hint="eastAsia" w:ascii="仿宋_GB2312" w:hAnsi="方正仿宋_GBK" w:eastAsia="仿宋_GB2312" w:cs="方正仿宋_GBK"/>
          <w:color w:val="000000"/>
          <w:sz w:val="18"/>
          <w:szCs w:val="18"/>
        </w:rPr>
        <w:t xml:space="preserve">   医疗行业电子票据管理系统V1.0</w:t>
      </w:r>
    </w:p>
    <w:p w14:paraId="621847E7">
      <w:pPr>
        <w:spacing w:line="360" w:lineRule="auto"/>
        <w:jc w:val="center"/>
        <w:rPr>
          <w:rFonts w:hint="eastAsia" w:asciiTheme="minorEastAsia" w:hAnsiTheme="minorEastAsia" w:cstheme="minorEastAsia"/>
          <w:sz w:val="24"/>
        </w:rPr>
      </w:pPr>
      <w:r>
        <w:rPr>
          <w:rFonts w:hint="eastAsia" w:asciiTheme="minorEastAsia" w:hAnsiTheme="minorEastAsia" w:cstheme="minorEastAsia"/>
          <w:sz w:val="24"/>
        </w:rPr>
        <w:drawing>
          <wp:inline distT="0" distB="0" distL="114300" distR="114300">
            <wp:extent cx="2019935" cy="2731770"/>
            <wp:effectExtent l="0" t="0" r="18415" b="11430"/>
            <wp:docPr id="88"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46"/>
                    <pic:cNvPicPr>
                      <a:picLocks noChangeAspect="1"/>
                    </pic:cNvPicPr>
                  </pic:nvPicPr>
                  <pic:blipFill>
                    <a:blip r:embed="rId7"/>
                    <a:stretch>
                      <a:fillRect/>
                    </a:stretch>
                  </pic:blipFill>
                  <pic:spPr>
                    <a:xfrm>
                      <a:off x="0" y="0"/>
                      <a:ext cx="2019935" cy="2731770"/>
                    </a:xfrm>
                    <a:prstGeom prst="rect">
                      <a:avLst/>
                    </a:prstGeom>
                    <a:noFill/>
                    <a:ln w="9525">
                      <a:noFill/>
                    </a:ln>
                  </pic:spPr>
                </pic:pic>
              </a:graphicData>
            </a:graphic>
          </wp:inline>
        </w:drawing>
      </w:r>
      <w:r>
        <w:rPr>
          <w:rFonts w:hint="eastAsia" w:asciiTheme="minorEastAsia" w:hAnsiTheme="minorEastAsia" w:cstheme="minorEastAsia"/>
          <w:sz w:val="24"/>
        </w:rPr>
        <w:t xml:space="preserve"> </w:t>
      </w:r>
      <w:r>
        <w:rPr>
          <w:rFonts w:hint="eastAsia" w:asciiTheme="minorEastAsia" w:hAnsiTheme="minorEastAsia" w:cstheme="minorEastAsia"/>
          <w:sz w:val="24"/>
        </w:rPr>
        <w:drawing>
          <wp:inline distT="0" distB="0" distL="114300" distR="114300">
            <wp:extent cx="2002790" cy="2653030"/>
            <wp:effectExtent l="0" t="0" r="16510" b="13970"/>
            <wp:docPr id="90"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48"/>
                    <pic:cNvPicPr>
                      <a:picLocks noChangeAspect="1"/>
                    </pic:cNvPicPr>
                  </pic:nvPicPr>
                  <pic:blipFill>
                    <a:blip r:embed="rId8"/>
                    <a:stretch>
                      <a:fillRect/>
                    </a:stretch>
                  </pic:blipFill>
                  <pic:spPr>
                    <a:xfrm>
                      <a:off x="0" y="0"/>
                      <a:ext cx="2002790" cy="2653030"/>
                    </a:xfrm>
                    <a:prstGeom prst="rect">
                      <a:avLst/>
                    </a:prstGeom>
                    <a:noFill/>
                    <a:ln w="9525">
                      <a:noFill/>
                    </a:ln>
                  </pic:spPr>
                </pic:pic>
              </a:graphicData>
            </a:graphic>
          </wp:inline>
        </w:drawing>
      </w:r>
    </w:p>
    <w:p w14:paraId="588B57BC">
      <w:pPr>
        <w:spacing w:line="360" w:lineRule="auto"/>
        <w:ind w:firstLine="1620" w:firstLineChars="900"/>
        <w:rPr>
          <w:rFonts w:hint="eastAsia" w:ascii="仿宋_GB2312" w:hAnsi="方正仿宋_GBK" w:eastAsia="仿宋_GB2312" w:cs="方正仿宋_GBK"/>
          <w:color w:val="000000"/>
          <w:sz w:val="18"/>
          <w:szCs w:val="18"/>
        </w:rPr>
      </w:pPr>
      <w:r>
        <w:rPr>
          <w:rFonts w:hint="eastAsia" w:ascii="仿宋_GB2312" w:hAnsi="方正仿宋_GBK" w:eastAsia="仿宋_GB2312" w:cs="方正仿宋_GBK"/>
          <w:color w:val="000000"/>
          <w:sz w:val="18"/>
          <w:szCs w:val="18"/>
        </w:rPr>
        <w:t>电子票据展示专利证书                    票据物联套件</w:t>
      </w:r>
    </w:p>
    <w:p w14:paraId="74B1B9EF">
      <w:pPr>
        <w:numPr>
          <w:ilvl w:val="0"/>
          <w:numId w:val="1"/>
        </w:numPr>
        <w:ind w:firstLine="560" w:firstLineChars="200"/>
        <w:jc w:val="left"/>
        <w:rPr>
          <w:rFonts w:hint="eastAsia" w:ascii="宋体" w:hAnsi="宋体" w:cs="宋体"/>
          <w:szCs w:val="28"/>
        </w:rPr>
      </w:pPr>
      <w:r>
        <w:rPr>
          <w:rFonts w:hint="eastAsia" w:ascii="宋体" w:hAnsi="宋体" w:cs="宋体"/>
          <w:sz w:val="28"/>
          <w:szCs w:val="28"/>
        </w:rPr>
        <w:t>福建博思软件股份有限公司作为我院医疗电子票据系统及财政部、省财政厅的财政电子票据管理平台的三方原有系统供应商，为保证项目一致性或服务配套，同时考虑到跨省入账报销涉及到单位侧、市财政、省财政、财政部四方系统的交互，由福建博思软件股份有限公司承建能够更好保证系统的无缝对接，且在实施服务和成本上均可得到高质量的保障。</w:t>
      </w:r>
    </w:p>
    <w:p w14:paraId="61370294">
      <w:pPr>
        <w:numPr>
          <w:ilvl w:val="0"/>
          <w:numId w:val="0"/>
        </w:numPr>
        <w:ind w:firstLine="562" w:firstLineChars="200"/>
        <w:jc w:val="left"/>
        <w:rPr>
          <w:rFonts w:hint="eastAsia" w:ascii="宋体" w:hAnsi="宋体" w:cs="宋体"/>
          <w:b/>
          <w:bCs/>
          <w:szCs w:val="28"/>
        </w:rPr>
      </w:pPr>
      <w:r>
        <w:rPr>
          <w:rFonts w:hint="eastAsia" w:ascii="宋体" w:hAnsi="宋体" w:cs="宋体"/>
          <w:b/>
          <w:bCs/>
          <w:sz w:val="28"/>
          <w:szCs w:val="28"/>
          <w:lang w:eastAsia="zh-CN"/>
        </w:rPr>
        <w:t>二、</w:t>
      </w:r>
      <w:r>
        <w:rPr>
          <w:rFonts w:hint="eastAsia" w:ascii="宋体" w:hAnsi="宋体" w:cs="宋体"/>
          <w:b/>
          <w:bCs/>
          <w:sz w:val="28"/>
          <w:szCs w:val="28"/>
        </w:rPr>
        <w:t>本省情况</w:t>
      </w:r>
    </w:p>
    <w:p w14:paraId="1B104C46">
      <w:pPr>
        <w:pStyle w:val="10"/>
        <w:numPr>
          <w:ilvl w:val="0"/>
          <w:numId w:val="2"/>
        </w:numPr>
        <w:ind w:firstLineChars="0"/>
        <w:jc w:val="left"/>
        <w:rPr>
          <w:rFonts w:hint="eastAsia" w:ascii="宋体" w:hAnsi="宋体" w:cs="宋体"/>
          <w:szCs w:val="28"/>
        </w:rPr>
      </w:pPr>
      <w:r>
        <w:rPr>
          <w:rFonts w:hint="eastAsia" w:ascii="宋体" w:hAnsi="宋体" w:cs="宋体"/>
          <w:sz w:val="28"/>
          <w:szCs w:val="28"/>
        </w:rPr>
        <w:t>我省作为第一批跨省入账报销试点省份，需要在山东省财政厅现有电子票据公共服务平台基础上增加跨省报销功能，目前该功能由福建博思软件股份有限公司承建。</w:t>
      </w:r>
    </w:p>
    <w:p w14:paraId="5B4AD24D">
      <w:pPr>
        <w:numPr>
          <w:ilvl w:val="0"/>
          <w:numId w:val="2"/>
        </w:numPr>
        <w:ind w:firstLine="560" w:firstLineChars="200"/>
        <w:jc w:val="left"/>
        <w:rPr>
          <w:rFonts w:hint="eastAsia" w:ascii="宋体" w:hAnsi="宋体" w:cs="宋体"/>
          <w:szCs w:val="28"/>
        </w:rPr>
      </w:pPr>
      <w:r>
        <w:rPr>
          <w:rFonts w:hint="eastAsia" w:ascii="宋体" w:hAnsi="宋体" w:cs="宋体"/>
          <w:sz w:val="28"/>
          <w:szCs w:val="28"/>
        </w:rPr>
        <w:t xml:space="preserve">枣庄市截止到目前已完成医疗电子票据建设的医疗机构均使用福建博思软件股份有限公司的产品。 </w:t>
      </w:r>
    </w:p>
    <w:p w14:paraId="6072A8A4">
      <w:pPr>
        <w:numPr>
          <w:ilvl w:val="0"/>
          <w:numId w:val="2"/>
        </w:numPr>
        <w:ind w:firstLine="560" w:firstLineChars="200"/>
        <w:jc w:val="left"/>
        <w:rPr>
          <w:rFonts w:hint="eastAsia" w:ascii="宋体" w:hAnsi="宋体" w:cs="宋体"/>
          <w:b/>
          <w:bCs/>
          <w:szCs w:val="28"/>
        </w:rPr>
      </w:pPr>
      <w:r>
        <w:rPr>
          <w:rFonts w:hint="eastAsia" w:ascii="宋体" w:hAnsi="宋体" w:cs="宋体"/>
          <w:sz w:val="28"/>
          <w:szCs w:val="28"/>
        </w:rPr>
        <w:t>由于本次医疗电子票据升级的目的是要进行跨省份全社会流转，对接医保部门、商保公司等，且前我国跨省报销尚处于起步阶段，后期可能存在系统升级改造、标准调整等情况，并需要提供统一标准的社会化服务。而福建博思软件股份有限公司作为财政部票据系统的系统供应商，能够深刻理解并按照财政部标准与要求开发建设与实施落地，因此选择该公司能最大程度保障系统的稳定性、规范性和未来兼容性。</w:t>
      </w:r>
    </w:p>
    <w:p w14:paraId="29BC7F29">
      <w:pPr>
        <w:ind w:firstLine="560"/>
        <w:rPr>
          <w:rFonts w:hint="eastAsia" w:ascii="宋体" w:hAnsi="宋体" w:cs="宋体"/>
          <w:sz w:val="28"/>
          <w:szCs w:val="28"/>
        </w:rPr>
      </w:pPr>
      <w:r>
        <w:rPr>
          <w:rFonts w:hint="eastAsia" w:ascii="宋体" w:hAnsi="宋体" w:cs="宋体"/>
          <w:sz w:val="28"/>
          <w:szCs w:val="28"/>
        </w:rPr>
        <w:t>鉴于上述情况，为了使我院尽快能够按照财政部的规范完成医疗电子票据的跨省入账报销工作，并充分考虑到系统建设的实施能力、成本及未来全国同步的系统升级的稳定性与便利性，建议采用单一来源的方式将福建博思软件股份有限公司作为医疗电子票据系统接口升级改造的实施服务商。</w:t>
      </w:r>
    </w:p>
    <w:p w14:paraId="33B34A1B">
      <w:pPr>
        <w:pStyle w:val="4"/>
        <w:ind w:firstLine="280"/>
        <w:rPr>
          <w:sz w:val="28"/>
          <w:szCs w:val="28"/>
        </w:rPr>
      </w:pPr>
    </w:p>
    <w:p w14:paraId="1A0D86C0">
      <w:pPr>
        <w:pStyle w:val="4"/>
        <w:keepNext w:val="0"/>
        <w:keepLines w:val="0"/>
        <w:pageBreakBefore w:val="0"/>
        <w:widowControl w:val="0"/>
        <w:kinsoku/>
        <w:wordWrap w:val="0"/>
        <w:overflowPunct/>
        <w:topLinePunct w:val="0"/>
        <w:autoSpaceDE/>
        <w:autoSpaceDN/>
        <w:bidi w:val="0"/>
        <w:adjustRightInd/>
        <w:snapToGrid/>
        <w:spacing w:after="0"/>
        <w:ind w:firstLine="280"/>
        <w:jc w:val="righ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医院信息科       </w:t>
      </w:r>
    </w:p>
    <w:p w14:paraId="61E36D68">
      <w:pPr>
        <w:pStyle w:val="4"/>
        <w:keepNext w:val="0"/>
        <w:keepLines w:val="0"/>
        <w:pageBreakBefore w:val="0"/>
        <w:widowControl w:val="0"/>
        <w:kinsoku/>
        <w:overflowPunct/>
        <w:topLinePunct w:val="0"/>
        <w:autoSpaceDE/>
        <w:autoSpaceDN/>
        <w:bidi w:val="0"/>
        <w:adjustRightInd/>
        <w:snapToGrid/>
        <w:spacing w:after="0"/>
        <w:ind w:firstLine="28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2026年6月</w:t>
      </w:r>
      <w:bookmarkStart w:id="0" w:name="_GoBack"/>
      <w:bookmarkEnd w:id="0"/>
    </w:p>
    <w:p w14:paraId="02B7DBC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C755DE"/>
    <w:multiLevelType w:val="singleLevel"/>
    <w:tmpl w:val="C3C755DE"/>
    <w:lvl w:ilvl="0" w:tentative="0">
      <w:start w:val="1"/>
      <w:numFmt w:val="decimal"/>
      <w:suff w:val="nothing"/>
      <w:lvlText w:val="%1、"/>
      <w:lvlJc w:val="left"/>
      <w:rPr>
        <w:rFonts w:ascii="宋体" w:hAnsi="宋体" w:eastAsia="宋体" w:cs="宋体"/>
        <w:b w:val="0"/>
        <w:bCs w:val="0"/>
        <w:sz w:val="28"/>
        <w:szCs w:val="28"/>
      </w:rPr>
    </w:lvl>
  </w:abstractNum>
  <w:abstractNum w:abstractNumId="1">
    <w:nsid w:val="0CC8E86C"/>
    <w:multiLevelType w:val="singleLevel"/>
    <w:tmpl w:val="0CC8E86C"/>
    <w:lvl w:ilvl="0" w:tentative="0">
      <w:start w:val="1"/>
      <w:numFmt w:val="decimal"/>
      <w:suff w:val="nothing"/>
      <w:lvlText w:val="%1、"/>
      <w:lvlJc w:val="left"/>
      <w:rPr>
        <w:rFonts w:hint="default"/>
        <w:b w:val="0"/>
        <w:bCs w:val="0"/>
        <w:sz w:val="28"/>
        <w:szCs w:val="28"/>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613E0B"/>
    <w:rsid w:val="1D675692"/>
    <w:rsid w:val="23474500"/>
    <w:rsid w:val="41067882"/>
    <w:rsid w:val="43645DE6"/>
    <w:rsid w:val="60CD2206"/>
    <w:rsid w:val="65C149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pPr>
  </w:style>
  <w:style w:type="paragraph" w:styleId="3">
    <w:name w:val="Body Text Indent"/>
    <w:basedOn w:val="1"/>
    <w:next w:val="1"/>
    <w:qFormat/>
    <w:uiPriority w:val="0"/>
    <w:pPr>
      <w:spacing w:line="500" w:lineRule="exact"/>
      <w:ind w:left="1588" w:leftChars="832" w:firstLine="433" w:firstLineChars="196"/>
    </w:pPr>
    <w:rPr>
      <w:sz w:val="24"/>
    </w:rPr>
  </w:style>
  <w:style w:type="paragraph" w:styleId="4">
    <w:name w:val="Body Text First Indent"/>
    <w:basedOn w:val="5"/>
    <w:qFormat/>
    <w:uiPriority w:val="0"/>
    <w:pPr>
      <w:ind w:firstLine="420" w:firstLineChars="100"/>
    </w:pPr>
  </w:style>
  <w:style w:type="paragraph" w:styleId="5">
    <w:name w:val="Body Text"/>
    <w:basedOn w:val="1"/>
    <w:next w:val="1"/>
    <w:qFormat/>
    <w:uiPriority w:val="0"/>
    <w:pPr>
      <w:spacing w:after="1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List Paragraph"/>
    <w:basedOn w:val="1"/>
    <w:unhideWhenUsed/>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1162</Words>
  <Characters>1194</Characters>
  <Lines>0</Lines>
  <Paragraphs>0</Paragraphs>
  <TotalTime>2</TotalTime>
  <ScaleCrop>false</ScaleCrop>
  <LinksUpToDate>false</LinksUpToDate>
  <CharactersWithSpaces>1233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2025-12-05T03:38:00Z</dcterms:created>
  <dc:creator>lenovo</dc:creator>
  <cp:lastModifiedBy>Administrator</cp:lastModifiedBy>
  <cp:lastPrinted>2026-06-29T03:30:00Z</cp:lastPrinted>
  <dcterms:modified xsi:type="dcterms:W3CDTF">2026-06-29T09:11:27Z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KSOTemplateDocerSaveRecord">
    <vt:lpwstr>eyJoZGlkIjoiZWIxNTA1YmNlZmQzMjQ0YTFlNjlkOTM1N2IyZDFmYjEiLCJ1c2VySWQiOiIyOTg2MDg5MTIifQ==</vt:lpwstr>
  </property>
  <property fmtid="{D5CDD505-2E9C-101B-9397-08002B2CF9AE}" pid="4" name="ICV">
    <vt:lpwstr>8BBD89C0E72944A9B5DD53C330877626_13</vt:lpwstr>
  </property>
</Properties>
</file>